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40" w:rsidRPr="003D6B40" w:rsidRDefault="003D6B40" w:rsidP="003D6B40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>Legge</w:t>
      </w:r>
      <w:r w:rsidRPr="003D6B40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 15 marzo 2017, n. 33</w:t>
      </w:r>
    </w:p>
    <w:p w:rsid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3D6B40">
        <w:rPr>
          <w:rFonts w:ascii="Times New Roman" w:eastAsia="Times New Roman" w:hAnsi="Times New Roman" w:cs="Times New Roman"/>
          <w:b/>
          <w:bCs/>
          <w:smallCaps/>
          <w:color w:val="000000"/>
          <w:lang w:eastAsia="it-IT"/>
        </w:rPr>
        <w:t>Delega recante norme relative al contrasto della povertà, al riordino delle prestazioni e al sistema degli interventi e dei servizi sociali.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iCs/>
          <w:color w:val="auto"/>
          <w:sz w:val="24"/>
          <w:lang w:eastAsia="it-IT"/>
        </w:rPr>
        <w:t>(GU del 24-3-2017)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3D6B40" w:rsidRPr="00DD44B6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DD44B6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Art. 1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1. Al fine di contribuire a rimuovere gli ostacoli economici 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sociali che limitano la libert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l'eguaglianza dei cittadini e il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pieno sviluppo della persona, di contrastare la povert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l'esclusione sociale e di ampliare le protezioni fornite dal sistema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delle politiche sociali per renderlo pi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ù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adeguato rispetto ai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bisogni emergenti e pi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ù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equo e omogeneo nell'accesso alle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prestazioni, in attuazione dell'articolo 3 della Costituzione e nel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rispetto dei principi della Carta dei diritti fondamentali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dell'Unione europea, il Governo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è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delegato ad adottare, entro sei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mesi dalla data di entrata in vigore della presente legge, su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proposta del Ministro del lavoro e delle politiche sociali, di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concerto con il Ministro dell'economia e delle finanze, nonch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é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 Ministro per la semplificazione e la pubblica amministrazione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quanto alle disposizioni di razionalizzazione di cui al comma 4,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lettera e), e sentito il Ministro della salute quanto alla promozione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degli accordi territoriali di cui al comma 4, lettera h), tra 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servizi sociali e gli altri enti od organismi competenti per 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salute, previa intesa in sede di Conferenza unificata, ai sensi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dell'articolo 3 del decreto legislativo 28 agosto 1997, n. 281, uno 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ù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decreti legislativi recanti: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a) l'introduzione di una misura nazionale di contrasto della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povert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, intesa come impossibilit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di disporre dell'insieme dei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beni e dei servizi necessari a condurre un livello di vita dignitoso,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 dell'esclusione sociale; tale misura, denominata reddito di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inclusione,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è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individuata come livello essenziale delle prestazioni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da garantire uniformemente in tutto il territorio nazionale;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b) il riordino delle prestazioni di natura assistenziale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finalizzate al contrasto della povert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, fatta eccezione per le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prestazioni rivolte alla fascia di popolazione anziana non pi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ù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di attivazione lavorativa, per le prestazioni a sostegno della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genitorialit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per quelle legate alla condizione di disabilit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invalidit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del beneficiario;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c) il rafforzamento del coordinamento degli interventi in materia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servizi sociali, al fine di garantire in tutto il territorio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nazionale i livelli essenziali delle prestazioni, nell'ambito dei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principi di cui alla legge 8 novembre 2000, n. 328. </w:t>
      </w:r>
    </w:p>
    <w:p w:rsidR="003D6B40" w:rsidRPr="00DD44B6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2. Nell'esercizio della delega di cui al comma 1, lettera a), il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Governo si attiene ai seguenti principi e criteri direttivi: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a) previsione che la misura di cui al comma 1, lettera a), sia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unica a livello nazionale, abbia carattere universale e sia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condizionata alla prova dei mezzi, sulla base dell'indicatore della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situazione economica equivalente (ISEE), tenendo conto dell'effettivo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reddito disponibile e di indicatori della capacit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di spesa, nonch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é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all'adesione a un progetto personalizzato di attivazione e di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inclusione sociale e lavorativa finalizzato all'affrancamento dalla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condizione di povert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realizzato secondo i principi di cui alla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lettera f) del presente comma;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b) previsione che la misura di cui al comma 1, lettera a), sia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articolata in un beneficio economico e in una componente di servizi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alla persona, assicurati dalla rete d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ei servizi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 degli interventi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sociali di cui alla legge 8 novembre 2000, n. 328, mediante il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progetto personalizzato di cui alla lettera a) del presente comma, 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sia garantita uniformemente in tutto il territorio nazionale;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c) definizione dei beneficiari della misura di cui al comma 1,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lettera a), prevedendo un requisito di durata minima del periodo di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residenza nel territorio nazionale nel rispetto dell'ordinamento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dell'Unione europea, del beneficio di cui alla lettera b) del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presente comma nonch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é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delle procedure per la determinazione dei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beneficiari e dei benefici medesimi, nei limiti delle risorse del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Fondo per la lotta alla povert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all'esclusione sociale, di cui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all'articolo 1, comma 386, della legge 28 dicembre 2015, n. 208;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nella definizione del beneficio si tiene conto della condizione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economica del nucleo familiare e della sua relazione con una soglia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riferimento per l'individuazione della condizione di povert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come definita dal comma 1, lettera a), del presente articolo;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   d) previsione, mediante il Piano nazionale per la lotta alla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povert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all'esclusione sociale, di cui all'articolo 1, comma 386,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della legge 28 dicembre 2015, n. 208, di un graduale incremento del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beneficio e di una graduale estensione dei beneficiari da individuare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prioritariamente tra i nuclei familiari con figli minori o con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disabilit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grave o con donne in stato di gravidanza accertata o con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persone di et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superiore a 55 anni in stato di disoccupazione, ai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sensi dell'articolo 19 del decreto legislativo 14 settembre 2015, n.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150, sulla base delle risorse che affluiscono al Fondo di cui alla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lettera c) del presente comma per effetto degli interventi di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riordino di cui al comma 3 del presente articolo, nonch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é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attraverso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eventuali ulteriori risorse da definire mediante specifici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provvedimenti legislativi;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e) previsione che alla realizzazione dei progetti personalizzati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cui alla lettera a) nonch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é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al potenziamento e alla qualificazione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della presa in carico dei beneficiari concorrano, ove compatibili 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riferite all'obiettivo tematico della lotta alla povert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della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promozione dell'inclusione sociale, le risorse afferenti ai programmi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operativi nazionali e regionali previsti dall'Accordo di partenariato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per l'utilizzo dei fondi strutturali europei 2014-2020;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f) previsione che i progetti personalizzati di cui alla lettera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a) siano predisposti da una equipe multidisciplinare costituita dagli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ambiti territoriali di cui all'articolo 8, comma 3, della legge 8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novembre 2000, n. 328, in collaborazione con le amministrazioni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competenti sul territorio in materia di servizi per l'impiego, 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formazione, le politiche abitative, la tutela della salute 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l'istruzione, secondo principi generalizzati di presa in carico dei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beneficiari della misura di cui al comma 1, lettera a), del presente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articolo e sulla base di: una valutazione multidimensionale del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bisogno; una piena partecipazione dei beneficiari alla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predisposizione dei progetti medesimi; un'attenta definizione degli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obiettivi e un monitoraggio degli esiti, valutati periodicamente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tramite strumenti di misurazione dell'impatto sociale;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g) previsione di controlli per la verifica dei requisiti dei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beneficiari della misura di cui al comma 1, lettera a), da parte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dell'Istituto nazionale della previdenza sociale (INPS), che pu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ò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avvalersi anche dei collegamenti con l'anagrafe tributaria e con gli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strumenti e sistemi informativi di cui al comma 4, lettera i); da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tali controlli non devono derivare nuovi o maggiori oneri a carico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della finanza pubblica;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h) definizione della durata del beneficio di cui alla lettera b),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prevedendone la possibilit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di rinnovo, subordinatamente alla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verifica del persistere dei requisiti, ai fini del completamento 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della ridefinizione del percorso previsto dal progetto personalizzato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cui alla lettera a), nonch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é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delle cause di sospensione 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decadenza dal medesimo beneficio. </w:t>
      </w:r>
    </w:p>
    <w:p w:rsidR="003D6B40" w:rsidRPr="00DD44B6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3. Nell'esercizio della delega di cui al comma 1, lettera b), il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Governo si attiene ai seguenti principi e criteri direttivi: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a) riordino delle prestazioni di cui al comma 1, lettera b),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prevedendo il loro assorbimento nella misura di cui al comma 1,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lettera a), e prevedendo altres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ì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, con riferimento alla carta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acquisti di cui all'articolo 81, comma 32, del decreto-legge 25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giugno 2008, n. 112, convertito, con modificazioni, dalla legge 6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agosto 2008, n. 133, che il completo assorbimento avvenga nel momento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 cui la misura di cui al citato comma 1, lettera a), copra le fasce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 popolazione interessate;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b) applicazione dei requisiti previsti in esito al riordino di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cui alla lettera a) a coloro che richiedono le prestazioni dopo 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data di entrata in vigore dei decreti legislativi di cui al comma 1;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c) previsione che le eventuali economie per la finanza pubblica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derivanti dal riordino di cui al presente comma siano destinate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all'incremento del finanziamento del Fondo per la lotta alla povert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à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 all'esclusione sociale, di cui all'articolo 1, comma 386, della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legge 28 dicembre 2015, n. 208;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d) previsione che le risorse di cui all'articolo 1, comma 386,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della legge 28 dicembre 2015, n. 208, eventualmente non impegnate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nell'esercizio di competenza, possano esserlo in quello successivo,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con priorit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rispetto a quelle impegnabili nel medesimo esercizio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successivo, assicurando comunque il rispetto dei limiti di spesa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complessivamente derivanti, per ciascun anno, dal citato comma 386 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dall'attuazione della lettera c) del presente comma. </w:t>
      </w:r>
    </w:p>
    <w:p w:rsidR="003D6B40" w:rsidRPr="00DD44B6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>4. Nell'esercizio della delega di cui al comma 1, lettera c), il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Governo si attiene ai seguenti principi e criteri direttivi: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a) previsione di un organismo di coordinamento del sistema degli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interventi e dei servizi sociali, da istituire presso il Ministero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 lavoro e delle politiche sociali, con la partecipazione delle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Regioni, delle Province autonome di Trento e di Bolzano, delle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autonomie locali e dell'INPS, presieduto dal Ministro del lavoro 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delle politiche sociali, al fine di favorire una maggiore omogeneit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à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territoriale nell'erogazione delle prestazioni e di definire linee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guida per gli interventi; dall'istituzione dell'organismo non devono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derivare nuovi o maggiori oneri a carico della finanza pubblica;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b) previsione che l'organismo di cui alla lettera a) consulti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periodicamente le parti sociali e gli organismi rappresentativi degli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enti del Terzo settore al fine di valutare l'attuazione delle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disposizioni di cui alla presente legge e possa costituire gruppi di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lavoro, con la partecipazione dei predetti soggetti, finalizzati alla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predisposizione di analisi e di proposte in materia di contrasto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della povert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c) attribuzione al Ministero del lavoro e delle politiche sociali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delle competenze in materia di verifica e di controllo del rispetto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dei livelli essenziali delle prestazioni che devono essere garantiti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 tutto il territorio nazionale; previsione che il medesimo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Ministero, anche avvalendosi dell'organismo di cui alla lettera a),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effettui un monitoraggio sull'attuazione della misura di cui al comma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1, lettera a), e delle altre prestazioni finalizzate al contrasto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della povert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, pubblicandone, con cadenza almeno annuale, gli esiti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nel proprio sito internet istituzionale;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d) previsione che il Ministero del lavoro e delle politiche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sociali possa predisporre, senza nuovi o maggiori oneri per la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finanza pubblica, previa intesa in sede di Conferenza unificata di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cui all'articolo 8 del decreto legislativo 28 agosto 1997, n. 281,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protocolli formativi e operativi che agevolino l'attuazione della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misura di cui al comma 1, lettera a), del presente articolo, promuova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iniziative di confronto tra gli operatori, segnali alle regioni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interessate gli ambiti territoriali che, sulla base delle evidenze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emerse in sede di monitoraggio dell'attuazione della misura,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presentino particolari criticit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e, in accordo con la regione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interessata, possa sostenere interventi di tutoraggio;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e) razionalizzazione degli enti strumentali e degli uffici del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Ministero del lavoro e delle politiche sociali allo scopo di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aumentare l'efficienza e l'efficacia dell'azione amministrativa,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mediante l'utilizzo delle risorse umane, strumentali e finanziarie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disponibili a legislazione vigente;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f) rafforzamento della gestione associata nella programmazione 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nella gestione degli interventi a livello di ambito territoriale, di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cui all'articolo 8 della legge 8 novembre 2000, n. 328, anche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mediante la previsione di meccanismi premiali nella distribuzione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delle risorse, ove compatibili e riferite all'obiettivo tematico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della lotta alla povert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della promozione dell'inclusione sociale,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afferenti ai programmi operativi nazionali e regionali previsti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dall'Accordo di partenariato per l'utilizzo dei fondi strutturali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europei 2014-2020, nei confronti degli ambiti territoriali che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abbiano adottato o adottino forme di gestione associata dei servizi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sociali che ne rafforzino l'efficacia e l'efficienza;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g) riordino della disciplina delle forme strumentali per la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gestione associata dei servizi sociali, prevedendo, in ogni caso, che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 consorzi di cui all'articolo 31 del testo unico delle leggi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sull'ordinamento degli enti locali, di cui al decreto legislativo 18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agosto 2000, n. 267, possano essere costituiti, assicurando comunque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risparmi di spesa, al fine della gestione associata dei servizi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sociali, in deroga a quanto previsto dall'articolo 2, comma 186,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lettera e), della legge 23 dicembre 2009, n. 191;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h) promozione di accordi territoriali tra i servizi sociali e gli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altri enti od organismi competenti per l'inserimento lavorativo,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l'istruzione e la formazione, le politiche abitative e la salute,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nonch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é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attivazione delle risorse della comunit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e, in particolare,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delle organizzazioni del Terzo settore e del privato sociale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impegnate nell'ambito delle politiche sociali, prevedendo altres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ì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sedi territoriali di confronto con le parti sociali, al fine di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realizzare un'offerta integrata di interventi e di servizi che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costituisce livello essenziale delle prestazioni; </w:t>
      </w: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   i) rafforzamento del sistema informativo dei servizi sociali, di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cui all'articolo 21 della legge 8 novembre 2000, n. 328, e, in</w:t>
      </w:r>
      <w:r w:rsidR="007660D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particolare, del Casellario dell'assistenza, di cui all'articolo 13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 decreto-legge 31 maggio 2010, n. 78, convertito, con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modificazioni, dalla legge 30 luglio 2010, n. 122, e sua integrazione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con i sistemi informativi sanitari e del lavoro nonch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é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con i sistemi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informativi di gestione delle prestazioni gi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nella disponibilit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à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dei comuni; miglioramento della fruibilit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delle informazioni del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sistema informativo dei servizi sociali da parte degli enti locali, a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supporto della gestione, della programmazione e del monitoraggio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della spesa sociale locale e per la valutazione dell'efficienza e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dell'efficacia degli interventi realizzati nei singoli territori;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rafforzamento degli obblighi di trasmissione di dati al Casellario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dell'assistenza da parte degli enti, delle amministrazioni e dei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soggetti obbligati, ivi comprese le segnalazioni relative a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prestazioni indebitamente percepite, e introduzione di sanzioni per 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soggetti inadempienti. </w:t>
      </w:r>
    </w:p>
    <w:p w:rsidR="00DD44B6" w:rsidRPr="00DD44B6" w:rsidRDefault="00DD44B6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5. Gli schemi dei decreti legislativi di cui al comma 1, a seguito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deliberazione preliminare del Consiglio dei ministri, sono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trasmessi alla Camera dei deputati e al Senato della Repubblica,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corredati di relazione tecnica, affinch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é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siano espressi, entro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trenta giorni dalla data della trasmissione, i pareri delle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Commissioni parlamentari competenti per materia e per i profili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finanziari. Decorso tale termine, i decreti legislativi possono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essere emanati anche in mancanza dei pareri. Il Governo, qualora non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intenda conformarsi ai pareri parlamentari, trasmette nuovamente 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testi alle Camere con le sue osservazioni e con eventuali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modificazioni, corredate dei necessari elementi integrativi di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informazione e motivazione. I pareri definitivi delle Commissioni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competenti per materia sono espressi entro il termine di venti giorni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dalla data della nuova trasmissione. Decorso tale termine, i decreti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possono essere comunque adottati. Qualora il termine per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l'espressione dei pareri parlamentari di cui al presente comma scada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nei trenta giorni che precedono la scadenza del termine previsto dal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comma 1 o successivamente, quest'ultimo 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è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prorogato di tre mesi.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Laddove non diversamente disposto, i decreti legislativi di cui al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comma 1 sono adottati nel rispetto della procedura di cui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all'articolo 14 della legge 23 agosto 1988, n. 400. </w:t>
      </w:r>
    </w:p>
    <w:p w:rsidR="00DD44B6" w:rsidRPr="00DD44B6" w:rsidRDefault="00DD44B6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6. All'attuazione della delega di cui al comma 1, lettera a), si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provvede nei limiti delle risorse del Fondo di cui all'articolo 1,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comma 386, della legge 28 dicembre 2015, n. 208, come rifinanziato ai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sensi del comma 389 del medesimo articolo 1 e integrato dalle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eventuali economie derivanti dall'attuazione delle disposizioni di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cui al comma 3 del presente articolo, destinate al citato Fondo ai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sensi della lettera c) del medesimo comma 3. Dall'attuazione delle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deleghe di cui al comma 1, lettere b) e c), del presente articolo,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devono derivare nuovi o maggiori oneri a carico della finanza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pubblica. A tale fine, per gli adempimenti previsti dai decreti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legislativi di cui al citato comma 1, lettere b) e c), le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amministrazioni competenti provvedono attraverso una diversa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allocazione delle ordinarie risorse umane, finanziarie e strumentali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in dotazione alle medesime amministrazioni. </w:t>
      </w:r>
    </w:p>
    <w:p w:rsidR="00DD44B6" w:rsidRPr="00DD44B6" w:rsidRDefault="00DD44B6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7. Entro dodici mesi dalla data di entrata in vigore dell'ultimo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dei decreti legislativi di cui al comma 1, nel rispetto dei principi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 criteri direttivi stabiliti dal presente articolo, il Governo pu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ò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adottare, con la procedura di cui ai commi 1, alinea, e 5,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disposizioni integrative e correttive dei decreti legislativi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medesimi, tenuto conto delle evidenze attuative nel frattempo emerse. </w:t>
      </w:r>
    </w:p>
    <w:p w:rsidR="00DD44B6" w:rsidRPr="00DD44B6" w:rsidRDefault="00DD44B6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8. Sono fatte salve le potest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à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attribuite alle Regioni a statuto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speciale e alle Province autonome di Trento e di Bolzano dai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rispettivi statuti speciali e dalle relative norme di attuazione. </w:t>
      </w:r>
    </w:p>
    <w:p w:rsidR="00DD44B6" w:rsidRPr="00DD44B6" w:rsidRDefault="00DD44B6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:rsidR="003D6B40" w:rsidRPr="003D6B40" w:rsidRDefault="003D6B40" w:rsidP="003D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9. La presente legge e i decreti legislativi di attuazione entrano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 vigore il giorno successivo a quello della loro pubblicazione</w:t>
      </w:r>
      <w:r w:rsidR="00DD44B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3D6B4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nella Gazzetta Ufficiale. </w:t>
      </w:r>
    </w:p>
    <w:p w:rsidR="00143E8B" w:rsidRPr="003D6B40" w:rsidRDefault="00143E8B" w:rsidP="003D6B40">
      <w:pPr>
        <w:rPr>
          <w:rFonts w:ascii="Times New Roman" w:hAnsi="Times New Roman" w:cs="Times New Roman"/>
          <w:sz w:val="24"/>
        </w:rPr>
      </w:pPr>
    </w:p>
    <w:sectPr w:rsidR="00143E8B" w:rsidRPr="003D6B40" w:rsidSect="007C1F8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3D6B40"/>
    <w:rsid w:val="00143E8B"/>
    <w:rsid w:val="001F69F1"/>
    <w:rsid w:val="00323911"/>
    <w:rsid w:val="003D6B40"/>
    <w:rsid w:val="005F30D2"/>
    <w:rsid w:val="007660D6"/>
    <w:rsid w:val="007C1F82"/>
    <w:rsid w:val="00DD44B6"/>
    <w:rsid w:val="00E9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Arial"/>
        <w:color w:val="333333"/>
        <w:sz w:val="28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3D6B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D6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D6B40"/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3D6B40"/>
  </w:style>
  <w:style w:type="character" w:customStyle="1" w:styleId="righetta">
    <w:name w:val="righetta"/>
    <w:basedOn w:val="Carpredefinitoparagrafo"/>
    <w:rsid w:val="003D6B40"/>
  </w:style>
  <w:style w:type="character" w:customStyle="1" w:styleId="righettadx">
    <w:name w:val="righetta_dx"/>
    <w:basedOn w:val="Carpredefinitoparagrafo"/>
    <w:rsid w:val="003D6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2017-03-25T09:27:00Z</dcterms:created>
  <dcterms:modified xsi:type="dcterms:W3CDTF">2017-03-25T10:41:00Z</dcterms:modified>
</cp:coreProperties>
</file>